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8"/>
        </w:rPr>
      </w:pPr>
      <w:r>
        <w:rPr>
          <w:b/>
          <w:sz w:val="28"/>
        </w:rPr>
        <w:t>Пожарная безопасность в Новогодние праздники!</w:t>
      </w:r>
    </w:p>
    <w:p>
      <w:pPr>
        <w:pStyle w:val="Normal"/>
        <w:spacing w:lineRule="auto" w:line="360"/>
        <w:jc w:val="center"/>
        <w:rPr>
          <w:b w:val="false"/>
          <w:b w:val="false"/>
          <w:bCs w:val="false"/>
        </w:rPr>
      </w:pPr>
      <w:r>
        <w:rPr>
          <w:rStyle w:val="Style10"/>
        </w:rPr>
        <w:t>Елка в безопасности!</w:t>
      </w:r>
    </w:p>
    <w:p>
      <w:pPr>
        <w:pStyle w:val="Normal"/>
        <w:spacing w:lineRule="auto" w:line="360"/>
        <w:ind w:left="-709" w:right="0" w:firstLine="709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Новый год - это прекрасное и чудесное время. Замечательный праздник для детей и взрослых. </w:t>
      </w:r>
      <w:r>
        <w:rPr>
          <w:sz w:val="28"/>
        </w:rPr>
        <w:t>Елку устанавливают и украшают практически в любом доме, устанавливают на каждом новогоднем мероприятии, ведь красота леса - незаменимый атрибут Нового года. Чтобы праздник не был омрачен проблемами, необходимо особое внимание уделить соблюдению мер пожарной безопасности, правильной установке елки и обращению с ней:</w:t>
      </w:r>
    </w:p>
    <w:p>
      <w:pPr>
        <w:pStyle w:val="Normal"/>
        <w:spacing w:lineRule="auto" w:line="360"/>
        <w:ind w:left="-709" w:right="0" w:firstLine="709"/>
        <w:jc w:val="both"/>
        <w:rPr>
          <w:b w:val="false"/>
          <w:b w:val="false"/>
          <w:sz w:val="28"/>
        </w:rPr>
      </w:pPr>
      <w:r>
        <w:rPr>
          <w:sz w:val="28"/>
        </w:rPr>
        <w:t>Новогодняя елка устанавливается на устойчивом основании и не должна загромождать эвакуационные пути и выходы из помещения. Ветки елки должны находиться на расстоянии не менее 1 метра от стен и потолков, а также приборов систем отопления и кондиционирования.</w:t>
      </w:r>
    </w:p>
    <w:p>
      <w:pPr>
        <w:pStyle w:val="Normal"/>
        <w:spacing w:lineRule="auto" w:line="360"/>
        <w:ind w:left="-709" w:right="0" w:firstLine="709"/>
        <w:jc w:val="both"/>
        <w:rPr>
          <w:b w:val="false"/>
          <w:b w:val="false"/>
          <w:sz w:val="28"/>
        </w:rPr>
      </w:pPr>
      <w:r>
        <w:rPr>
          <w:sz w:val="28"/>
        </w:rPr>
        <w:t>Во время новогодних мероприятий можно установить елку не выше второго этажа, при этом в помещении должно быть не менее двух эвакуационных выходов, оборудованных специальными световыми указателями. Елка не должна располагаться у входа в помещение или блокировать один из путей эвакуации. Во время новогоднего мероприятия запрещается полностью выключать свет, а ответственные лица (родители, учителя) всегда должны находиться рядом                       с детьми.</w:t>
      </w:r>
    </w:p>
    <w:p>
      <w:pPr>
        <w:pStyle w:val="Normal"/>
        <w:spacing w:lineRule="auto" w:line="360"/>
        <w:ind w:left="-709" w:right="0" w:firstLine="709"/>
        <w:jc w:val="both"/>
        <w:rPr>
          <w:b w:val="false"/>
          <w:b w:val="false"/>
          <w:sz w:val="28"/>
        </w:rPr>
      </w:pPr>
      <w:r>
        <w:rPr>
          <w:sz w:val="28"/>
        </w:rPr>
        <w:t>На елке запрещено устанавливать свечи и бенгальские огни. Не используйте для украшения елки несертифицированные электротехнические изделия. Подключение гирлянд к сети необходимо производить с помощью разъемных соединений. При обнаружении неисправности в освещении - нагревание проводов, мигание лампочек, искрение,  гирлянда должна быть срочно выключена.</w:t>
      </w:r>
    </w:p>
    <w:p>
      <w:pPr>
        <w:pStyle w:val="Normal"/>
        <w:spacing w:lineRule="auto" w:line="360"/>
        <w:ind w:left="-709" w:right="0" w:firstLine="709"/>
        <w:jc w:val="center"/>
        <w:rPr/>
      </w:pPr>
      <w:r>
        <w:rPr>
          <w:rStyle w:val="Style10"/>
          <w:sz w:val="28"/>
        </w:rPr>
        <w:t>Салют по правилам!</w:t>
      </w:r>
    </w:p>
    <w:p>
      <w:pPr>
        <w:pStyle w:val="Normal"/>
        <w:spacing w:lineRule="auto" w:line="360"/>
        <w:ind w:left="-709" w:right="0" w:firstLine="709"/>
        <w:jc w:val="both"/>
        <w:rPr>
          <w:b w:val="false"/>
          <w:b w:val="false"/>
          <w:sz w:val="28"/>
        </w:rPr>
      </w:pPr>
      <w:r>
        <w:rPr>
          <w:sz w:val="28"/>
        </w:rPr>
        <w:t>Новый год у взрослых и детей ассоциируется с яркими фейерверками, петардами и бенгальскими огнями, поэтому они являются одними из фаворитов среди предрождественских покупок. Но не забывайте, что именно они представляют особую угрозу для здоровья, если не соблюдать правила безопасности.</w:t>
      </w:r>
    </w:p>
    <w:p>
      <w:pPr>
        <w:pStyle w:val="Normal"/>
        <w:spacing w:lineRule="auto" w:line="360"/>
        <w:ind w:left="-709" w:right="0" w:firstLine="709"/>
        <w:jc w:val="both"/>
        <w:rPr>
          <w:b w:val="false"/>
          <w:b w:val="false"/>
          <w:sz w:val="28"/>
        </w:rPr>
      </w:pPr>
      <w:r>
        <w:rPr>
          <w:sz w:val="28"/>
        </w:rPr>
        <w:t>При покупке пиротехнических изделий проверяйте сертификат соответствия. Инструкция по применению должна быть на русском языке с указанием адреса или телефона производителя. Фейерверки следует приобретать только в местах официальной продажи: в магазинах, отделах и отделах магазинов, павильонах и киосках, обеспечивающих сохранность продукции. Покупая салют, обратите внимание на упаковку: на ней не должно быть влаги и разрывов.</w:t>
      </w:r>
    </w:p>
    <w:p>
      <w:pPr>
        <w:pStyle w:val="Normal"/>
        <w:spacing w:lineRule="auto" w:line="360"/>
        <w:ind w:left="-709" w:right="0" w:firstLine="709"/>
        <w:jc w:val="both"/>
        <w:rPr>
          <w:b w:val="false"/>
          <w:b w:val="false"/>
          <w:sz w:val="28"/>
        </w:rPr>
      </w:pPr>
      <w:r>
        <w:rPr>
          <w:sz w:val="28"/>
        </w:rPr>
        <w:t>Фейерверк следует хранить в недоступном для детей месте, желательно в отапливаемом помещении, иначе фейерверк может отсыреть из-за перепадов температур. Категорически запрещается сушить мокрые салюты на обогревателях, батареях. Опасно хранить пиротехнические изделия во влажном или очень сухом помещении с температурой воздуха выше 30 °С. Опасное хранение вблизи легковоспламеняющихся предметов и веществ, а также нагревательных приборов.</w:t>
      </w:r>
    </w:p>
    <w:p>
      <w:pPr>
        <w:pStyle w:val="Normal"/>
        <w:spacing w:lineRule="auto" w:line="360"/>
        <w:ind w:left="-709" w:right="0" w:firstLine="709"/>
        <w:jc w:val="both"/>
        <w:rPr>
          <w:b/>
          <w:b/>
          <w:bCs/>
        </w:rPr>
      </w:pPr>
      <w:r>
        <w:rPr>
          <w:b/>
          <w:bCs/>
          <w:sz w:val="28"/>
        </w:rPr>
        <w:t>Пиротехнические изделия ни в коем случае нельзя продавать детям, не достигшим 16-летнего возраста!</w:t>
      </w:r>
    </w:p>
    <w:p>
      <w:pPr>
        <w:pStyle w:val="Normal"/>
        <w:spacing w:lineRule="auto" w:line="360"/>
        <w:ind w:left="-709" w:right="0" w:firstLine="709"/>
        <w:jc w:val="both"/>
        <w:rPr/>
      </w:pPr>
      <w:r>
        <w:rPr>
          <w:b/>
          <w:bCs/>
          <w:sz w:val="28"/>
        </w:rPr>
        <w:t xml:space="preserve">Продавать и покупать пиротехнические изделия можно исключительно в специализированных магазинах, имеющих лицензию на продажу </w:t>
      </w:r>
      <w:r>
        <w:rPr>
          <w:rFonts w:eastAsia="Tahoma" w:cs="Noto Sans Devanagari"/>
          <w:b/>
          <w:bCs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данных </w:t>
      </w:r>
      <w:r>
        <w:rPr>
          <w:b/>
          <w:bCs/>
          <w:sz w:val="28"/>
        </w:rPr>
        <w:t>изделий!</w:t>
      </w:r>
    </w:p>
    <w:p>
      <w:pPr>
        <w:pStyle w:val="Normal"/>
        <w:spacing w:lineRule="auto" w:line="360"/>
        <w:ind w:left="-709" w:right="0" w:firstLine="709"/>
        <w:jc w:val="both"/>
        <w:rPr>
          <w:b w:val="false"/>
          <w:b w:val="false"/>
          <w:sz w:val="28"/>
        </w:rPr>
      </w:pPr>
      <w:r>
        <w:rPr>
          <w:sz w:val="28"/>
        </w:rPr>
        <w:t>Никогда не зажигайте пиротехнику в нетрезвом виде. Запускающий должен заранее надежно зафиксировать изделие в соответствии с инструкциями по эксплуатации и иметь возможность немедленно отреагировать в случае непредвиденной ситуации. При поджоге фейерверка не держитесь за изделие и не наклоняйтесь за него. Фитиль нужно зажигать на расстоянии вытянутой руки. После того, как продукт закончил работу, можно безопасно подойти к нему как минимум через 10 минут.</w:t>
      </w:r>
    </w:p>
    <w:p>
      <w:pPr>
        <w:pStyle w:val="Normal"/>
        <w:spacing w:lineRule="auto" w:line="360"/>
        <w:ind w:left="-709" w:right="0" w:firstLine="709"/>
        <w:jc w:val="both"/>
        <w:rPr>
          <w:b w:val="false"/>
          <w:b w:val="false"/>
          <w:sz w:val="28"/>
        </w:rPr>
      </w:pPr>
      <w:r>
        <w:rPr>
          <w:sz w:val="28"/>
        </w:rPr>
        <w:t>Фейерверк необходимо устанавливать на устойчивой и ровной поверхности. Устройства с небольшой площадью основания следует закрепить, присыпав землей с боков или установить в плотном снегу. Это предотвратит их опрокидывание. Летающие ракеты и салюты следует запускать вдали от жилых домов, зданий с шаткими крышами или открытых чердаков. Для наземных фейерверков следует выбирать гладкую поверхность, не препятствующую их движения. Это может быть лед, ровный грунт, асфальт, гладкий бетон.</w:t>
      </w:r>
    </w:p>
    <w:p>
      <w:pPr>
        <w:pStyle w:val="Normal"/>
        <w:spacing w:lineRule="auto" w:line="360"/>
        <w:ind w:left="-709" w:right="0" w:firstLine="709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Никогда не разбирайте пиротехнику ни до, ни после использования. Категорически запрещается изменять конструкцию изделия каким-либо иным образом до и после его использования.</w:t>
      </w:r>
    </w:p>
    <w:p>
      <w:pPr>
        <w:pStyle w:val="Normal"/>
        <w:spacing w:lineRule="auto" w:line="360"/>
        <w:ind w:left="-709" w:right="0" w:firstLine="709"/>
        <w:jc w:val="both"/>
        <w:rPr>
          <w:b w:val="false"/>
          <w:b w:val="false"/>
          <w:sz w:val="28"/>
        </w:rPr>
      </w:pPr>
      <w:r>
        <w:rPr>
          <w:sz w:val="28"/>
        </w:rPr>
        <w:t>Чтобы праздник прошел без происшествий, необходимо обязательно соблюдать правила пожарной безопасности.</w:t>
      </w:r>
    </w:p>
    <w:p>
      <w:pPr>
        <w:pStyle w:val="Normal"/>
        <w:spacing w:lineRule="auto" w:line="360"/>
        <w:ind w:left="-709" w:right="0" w:firstLine="709"/>
        <w:jc w:val="center"/>
        <w:rPr>
          <w:b/>
          <w:b/>
          <w:bCs/>
        </w:rPr>
      </w:pPr>
      <w:r>
        <w:rPr>
          <w:b/>
          <w:bCs/>
          <w:sz w:val="28"/>
        </w:rPr>
        <w:t>Ответственность за нарушение правил пожарной безопасности</w:t>
      </w:r>
    </w:p>
    <w:p>
      <w:pPr>
        <w:pStyle w:val="Normal"/>
        <w:spacing w:lineRule="auto" w:line="360"/>
        <w:ind w:left="-709" w:right="0" w:firstLine="709"/>
        <w:jc w:val="both"/>
        <w:rPr>
          <w:b w:val="false"/>
          <w:b w:val="false"/>
          <w:sz w:val="28"/>
        </w:rPr>
      </w:pPr>
      <w:r>
        <w:rPr>
          <w:sz w:val="28"/>
        </w:rPr>
        <w:t>В соответствии со ст. 20.4 Федерального закона № 195-ФЗ от 30.12.2001 «Кодекс Российской Федерации об административных правонарушениях» и Федерального закона № 69-ФЗ от 21.12.1994 «О пожарной безопасности» к административной ответственности могут привлекаться как собственники помещений, так и лица, на которых была возложена ответственность за соблюдение правил пожарной безопасности.</w:t>
      </w:r>
    </w:p>
    <w:p>
      <w:pPr>
        <w:pStyle w:val="Normal"/>
        <w:spacing w:lineRule="auto" w:line="360"/>
        <w:ind w:left="-709" w:right="0" w:firstLine="709"/>
        <w:jc w:val="both"/>
        <w:rPr>
          <w:b w:val="false"/>
          <w:b w:val="false"/>
          <w:sz w:val="28"/>
        </w:rPr>
      </w:pPr>
      <w:r>
        <w:rPr>
          <w:sz w:val="28"/>
        </w:rPr>
        <w:t>В случаях, когда в результате пожара пострадали не только материальные вещи, но также люди получили легкий или средний вред здоровью, то штраф будет составлять от 4 до 400 тыс. рублей.</w:t>
      </w:r>
    </w:p>
    <w:p>
      <w:pPr>
        <w:pStyle w:val="Normal"/>
        <w:spacing w:lineRule="auto" w:line="360"/>
        <w:ind w:left="-709" w:right="0" w:firstLine="709"/>
        <w:jc w:val="both"/>
        <w:rPr>
          <w:b w:val="false"/>
          <w:b w:val="false"/>
          <w:sz w:val="28"/>
        </w:rPr>
      </w:pPr>
      <w:r>
        <w:rPr>
          <w:sz w:val="28"/>
        </w:rPr>
        <w:t xml:space="preserve">Если возникший огонь унес жизни людей или причинил тяжкий вред здоровью, то юридические лица заплатят штраф от 600 до 1 млн. руб. Также на них могут возложить запрет на продолжение деятельности на срок до 3 месяцев. </w:t>
      </w:r>
    </w:p>
    <w:p>
      <w:pPr>
        <w:pStyle w:val="Normal"/>
        <w:spacing w:lineRule="auto" w:line="360"/>
        <w:ind w:left="-709" w:right="0" w:firstLine="709"/>
        <w:jc w:val="both"/>
        <w:rPr>
          <w:b w:val="false"/>
          <w:b w:val="false"/>
          <w:sz w:val="28"/>
        </w:rPr>
      </w:pPr>
      <w:r>
        <w:rPr>
          <w:sz w:val="28"/>
        </w:rPr>
        <w:t>В соответствии со ст. 168, 219, 261  Федерального закона № 63-ФЗ от 13.06.1996 «Уголовный кодекс Российской Федерации</w:t>
      </w:r>
    </w:p>
    <w:p>
      <w:pPr>
        <w:pStyle w:val="Normal"/>
        <w:spacing w:lineRule="auto" w:line="360"/>
        <w:ind w:left="-709" w:right="0" w:firstLine="709"/>
        <w:jc w:val="both"/>
        <w:rPr>
          <w:b w:val="false"/>
          <w:b w:val="false"/>
          <w:sz w:val="28"/>
        </w:rPr>
      </w:pPr>
      <w:r>
        <w:rPr>
          <w:sz w:val="28"/>
        </w:rPr>
        <w:t>В случае, если нарушение требований пожарной безопасности, повлекло по неосторожности причинение тяжкого вреда здоровью человека или его смерть, виновное лицо подлежит ответственности по ст. 219  Федерального закона № 63-ФЗ от 13.06.1996 «Уголовный кодекс Российской Федерации» (далее УК РФ). Максимальным наказанием за совершение данного преступления является лишение свободы на срок до семи лет.</w:t>
      </w:r>
    </w:p>
    <w:p>
      <w:pPr>
        <w:pStyle w:val="Normal"/>
        <w:spacing w:lineRule="auto" w:line="360"/>
        <w:ind w:left="-709" w:right="0" w:firstLine="709"/>
        <w:jc w:val="both"/>
        <w:rPr>
          <w:b w:val="false"/>
          <w:b w:val="false"/>
          <w:sz w:val="28"/>
        </w:rPr>
      </w:pPr>
      <w:r>
        <w:rPr>
          <w:sz w:val="28"/>
        </w:rPr>
        <w:t>За повреждение имущества в крупном размере путем неосторожного обращения с огнем или иным источником повышенной опасности законодателем предусмотрена уголовная ответственность по ст. 168 УК РФ. При этом максимальным наказанием является лишение свободы сроком до одного года.</w:t>
      </w:r>
    </w:p>
    <w:p>
      <w:pPr>
        <w:pStyle w:val="Normal"/>
        <w:spacing w:lineRule="auto" w:line="360"/>
        <w:ind w:left="-709" w:right="0" w:firstLine="709"/>
        <w:jc w:val="both"/>
        <w:rPr>
          <w:b w:val="false"/>
          <w:b w:val="false"/>
          <w:sz w:val="28"/>
        </w:rPr>
      </w:pPr>
      <w:r>
        <w:rPr>
          <w:sz w:val="28"/>
        </w:rPr>
        <w:t>Следует помнить, что правила пожарной безопасности созданы не для того чтобы ограничить свободу и право людей на праздник, а для того, чтобы защитить их жизнь и здоровье.</w:t>
      </w:r>
    </w:p>
    <w:p>
      <w:pPr>
        <w:pStyle w:val="Style12"/>
        <w:spacing w:lineRule="auto" w:line="360"/>
        <w:ind w:left="-709" w:right="0" w:firstLine="709"/>
        <w:jc w:val="both"/>
        <w:rPr>
          <w:b/>
          <w:b/>
          <w:bCs/>
        </w:rPr>
      </w:pPr>
      <w:r>
        <w:rPr>
          <w:b/>
          <w:bCs/>
          <w:sz w:val="28"/>
        </w:rPr>
        <w:t xml:space="preserve">В случае возникновения пожара звоните: </w:t>
      </w:r>
    </w:p>
    <w:p>
      <w:pPr>
        <w:pStyle w:val="Style12"/>
        <w:rPr>
          <w:b/>
          <w:b/>
          <w:bCs/>
        </w:rPr>
      </w:pPr>
      <w:r>
        <w:rPr>
          <w:b/>
          <w:bCs/>
        </w:rPr>
        <w:t> </w:t>
      </w:r>
      <w:r>
        <w:rPr>
          <w:b/>
          <w:bCs/>
        </w:rPr>
        <w:t xml:space="preserve">- «101» - для набора со всех операторов мобильной связи; </w:t>
      </w:r>
    </w:p>
    <w:p>
      <w:pPr>
        <w:pStyle w:val="Style12"/>
        <w:rPr>
          <w:b/>
          <w:b/>
          <w:bCs/>
        </w:rPr>
      </w:pPr>
      <w:r>
        <w:rPr>
          <w:b/>
          <w:bCs/>
        </w:rPr>
        <w:t> </w:t>
      </w:r>
      <w:r>
        <w:rPr>
          <w:b/>
          <w:bCs/>
        </w:rPr>
        <w:t xml:space="preserve">- «01» - со стационарных телефонов; </w:t>
      </w:r>
    </w:p>
    <w:p>
      <w:pPr>
        <w:pStyle w:val="Style12"/>
        <w:rPr>
          <w:b/>
          <w:b/>
          <w:bCs/>
        </w:rPr>
      </w:pPr>
      <w:r>
        <w:rPr>
          <w:b/>
          <w:bCs/>
        </w:rPr>
        <w:t xml:space="preserve">- «112» - единый телефон вызова экстренных оперативных служб. </w:t>
      </w:r>
    </w:p>
    <w:p>
      <w:pPr>
        <w:pStyle w:val="Normal"/>
        <w:spacing w:lineRule="auto" w:line="360"/>
        <w:ind w:left="-709" w:right="0" w:firstLine="709"/>
        <w:jc w:val="both"/>
        <w:rPr>
          <w:b w:val="false"/>
          <w:b w:val="false"/>
          <w:sz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XO Thames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Tahoma" w:cs="Noto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9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Tahoma" w:cs="Noto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1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Tahoma" w:cs="Noto Sans Devanagari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link w:val="Style_6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Tahoma" w:cs="Noto Sans Devanagari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next w:val="Normal"/>
    <w:link w:val="Style_2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Tahoma" w:cs="Noto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8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2"/>
    <w:qFormat/>
    <w:rPr/>
  </w:style>
  <w:style w:type="character" w:styleId="Contents4">
    <w:name w:val="Contents 4"/>
    <w:link w:val="Style_3"/>
    <w:qFormat/>
    <w:rPr/>
  </w:style>
  <w:style w:type="character" w:styleId="Contents6">
    <w:name w:val="Contents 6"/>
    <w:link w:val="Style_4"/>
    <w:qFormat/>
    <w:rPr/>
  </w:style>
  <w:style w:type="character" w:styleId="Contents7">
    <w:name w:val="Contents 7"/>
    <w:link w:val="Style_5"/>
    <w:qFormat/>
    <w:rPr/>
  </w:style>
  <w:style w:type="character" w:styleId="Heading3">
    <w:name w:val="Heading 3"/>
    <w:link w:val="Style_6"/>
    <w:qFormat/>
    <w:rPr>
      <w:rFonts w:ascii="XO Thames" w:hAnsi="XO Thames"/>
      <w:b/>
      <w:i/>
      <w:color w:val="000000"/>
    </w:rPr>
  </w:style>
  <w:style w:type="character" w:styleId="Contents3">
    <w:name w:val="Contents 3"/>
    <w:link w:val="Style_7"/>
    <w:qFormat/>
    <w:rPr/>
  </w:style>
  <w:style w:type="character" w:styleId="Heading5">
    <w:name w:val="Heading 5"/>
    <w:link w:val="Style_8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9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0"/>
    <w:rPr>
      <w:color w:val="0000FF"/>
      <w:u w:val="single"/>
    </w:rPr>
  </w:style>
  <w:style w:type="character" w:styleId="Footnote">
    <w:name w:val="Footnote"/>
    <w:link w:val="Style_11"/>
    <w:qFormat/>
    <w:rPr>
      <w:rFonts w:ascii="XO Thames" w:hAnsi="XO Thames"/>
      <w:sz w:val="22"/>
    </w:rPr>
  </w:style>
  <w:style w:type="character" w:styleId="Contents1">
    <w:name w:val="Contents 1"/>
    <w:link w:val="Style_12"/>
    <w:qFormat/>
    <w:rPr>
      <w:rFonts w:ascii="XO Thames" w:hAnsi="XO Thames"/>
      <w:b/>
    </w:rPr>
  </w:style>
  <w:style w:type="character" w:styleId="HeaderandFooter">
    <w:name w:val="Header and Footer"/>
    <w:link w:val="Style_13"/>
    <w:qFormat/>
    <w:rPr>
      <w:rFonts w:ascii="XO Thames" w:hAnsi="XO Thames"/>
      <w:sz w:val="20"/>
    </w:rPr>
  </w:style>
  <w:style w:type="character" w:styleId="Contents9">
    <w:name w:val="Contents 9"/>
    <w:link w:val="Style_14"/>
    <w:qFormat/>
    <w:rPr/>
  </w:style>
  <w:style w:type="character" w:styleId="Contents8">
    <w:name w:val="Contents 8"/>
    <w:link w:val="Style_15"/>
    <w:qFormat/>
    <w:rPr/>
  </w:style>
  <w:style w:type="character" w:styleId="Contents5">
    <w:name w:val="Contents 5"/>
    <w:link w:val="Style_16"/>
    <w:qFormat/>
    <w:rPr/>
  </w:style>
  <w:style w:type="character" w:styleId="Subtitle">
    <w:name w:val="Subtitle"/>
    <w:link w:val="Style_17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18"/>
    <w:qFormat/>
    <w:rPr/>
  </w:style>
  <w:style w:type="character" w:styleId="Title">
    <w:name w:val="Title"/>
    <w:link w:val="Style_19"/>
    <w:qFormat/>
    <w:rPr>
      <w:rFonts w:ascii="XO Thames" w:hAnsi="XO Thames"/>
      <w:b/>
      <w:sz w:val="52"/>
    </w:rPr>
  </w:style>
  <w:style w:type="character" w:styleId="Heading4">
    <w:name w:val="Heading 4"/>
    <w:link w:val="Style_20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1"/>
    <w:qFormat/>
    <w:rPr>
      <w:rFonts w:ascii="XO Thames" w:hAnsi="XO Thames"/>
      <w:b/>
      <w:color w:val="00A0FF"/>
      <w:sz w:val="26"/>
    </w:rPr>
  </w:style>
  <w:style w:type="character" w:styleId="Style10">
    <w:name w:val="Выделение жирным"/>
    <w:qFormat/>
    <w:rPr>
      <w:b/>
      <w:b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ascii="PT Astra Serif" w:hAnsi="PT Astra Serif" w:cs="Noto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">
    <w:name w:val="TOC 2"/>
    <w:next w:val="Normal"/>
    <w:link w:val="Style_2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next w:val="Normal"/>
    <w:link w:val="Style_3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next w:val="Normal"/>
    <w:link w:val="Style_4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next w:val="Normal"/>
    <w:link w:val="Style_5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">
    <w:name w:val="Hyperlink"/>
    <w:link w:val="Style_1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2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Style16">
    <w:name w:val="Верхний и нижний колонтитулы"/>
    <w:link w:val="Style_13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4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next w:val="Normal"/>
    <w:link w:val="Style_15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next w:val="Normal"/>
    <w:link w:val="Style_16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Subtitle"/>
    <w:next w:val="Normal"/>
    <w:link w:val="Style_17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18_ch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Title"/>
    <w:next w:val="Normal"/>
    <w:link w:val="Style_19_ch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52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LibreOffice/6.4.7.2$Linux_X86_64 LibreOffice_project/40$Build-2</Application>
  <Pages>4</Pages>
  <Words>825</Words>
  <Characters>5339</Characters>
  <CharactersWithSpaces>6168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2021-12-21T18:45:54Z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