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Пожарная безопасность в Новогодние праздники!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rStyle w:val="Style10"/>
        </w:rPr>
        <w:t>Елка в безопасности!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 xml:space="preserve">Новый год - это прекрасное и чудесное время. Замечательный праздник для детей и взрослых. </w:t>
      </w:r>
      <w:r>
        <w:rPr>
          <w:sz w:val="28"/>
        </w:rPr>
        <w:t>Елку устанавливают и украшают практически в любом доме, устанавливают на каждом новогоднем мероприятии, ведь красота леса - незаменимый атрибут Нового года. Чтобы праздник не был омрачен проблемами, необходимо особое внимание уделить соблюдению мер пожарной безопасности, правильной установке елки и обращению с ней: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Во время новогодних мероприятий можно установить елку не выше второго этажа, при этом в помещении должно быть не менее двух эвакуационных выходов, оборудованных специальными световыми указателями. Елка не должна располагаться у входа в помещение или блокировать один из путей эвакуации. Во время новогоднего мероприятия запрещается полностью выключать свет, а ответственные лица (родители, учителя) всегда должны находиться рядом                       с детьми.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На елке запрещено устанавливать свечи и бенгальские огни. Не используйте для украшения елки несертифицированные электротехнические изделия. Подключение гирлянд к сети необходимо производить с помощью разъемных соединений. При обнаружении неисправности в освещении - нагревание проводов, мигание лампочек, искрение,  гирлянда должна быть срочно выключена.</w:t>
      </w:r>
    </w:p>
    <w:p>
      <w:pPr>
        <w:pStyle w:val="Normal"/>
        <w:spacing w:lineRule="auto" w:line="360"/>
        <w:ind w:left="-709" w:right="0" w:firstLine="709"/>
        <w:jc w:val="center"/>
        <w:rPr/>
      </w:pPr>
      <w:r>
        <w:rPr>
          <w:rStyle w:val="Style10"/>
          <w:sz w:val="28"/>
        </w:rPr>
        <w:t>Салют по правилам!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Новый год у взрослых и детей ассоциируется с яркими фейерверками, петардами и бенгальскими огнями, поэтому они являются одними из фаворитов среди предрождественских покупок. Но не забывайте, что именно они представляют особую угрозу для здоровья, если не соблюдать правила безопасности.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При покупке пиротехнических изделий проверяйте сертификат соответствия. Инструкция по применению должна быть на русском языке с указанием адреса или телефона производителя. Фейерверки следует приобретать только в местах официальной продажи: в магазинах, отделах и отделах магазинов, павильонах и киосках, обеспечивающих сохранность продукции. Покупая салют, обратите внимание на упаковку: на ней не должно быть влаги и разрывов.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Фейерверк следует хранить в недоступном для детей месте, желательно в отапливаемом помещении, иначе фейерверк может отсыреть из-за перепадов температур. Категорически запрещается сушить мокрые салюты на обогревателях, батареях. Опасно хранить пиротехнические изделия во влажном или очень сухом помещении с температурой воздуха выше 30 °С. Опасное хранение вблизи легковоспламеняющихся предметов и веществ, а также нагревательных приборов.</w:t>
      </w:r>
    </w:p>
    <w:p>
      <w:pPr>
        <w:pStyle w:val="Normal"/>
        <w:spacing w:lineRule="auto" w:line="360"/>
        <w:ind w:left="-709" w:right="0" w:firstLine="709"/>
        <w:jc w:val="both"/>
        <w:rPr>
          <w:b/>
          <w:b/>
          <w:bCs/>
        </w:rPr>
      </w:pPr>
      <w:r>
        <w:rPr>
          <w:b/>
          <w:bCs/>
          <w:sz w:val="28"/>
        </w:rPr>
        <w:t>Пиротехнические изделия ни в коем случае нельзя продавать детям, не достигшим 16-летнего возраста!</w:t>
      </w:r>
    </w:p>
    <w:p>
      <w:pPr>
        <w:pStyle w:val="Normal"/>
        <w:spacing w:lineRule="auto" w:line="360"/>
        <w:ind w:left="-709" w:right="0" w:firstLine="709"/>
        <w:jc w:val="both"/>
        <w:rPr/>
      </w:pPr>
      <w:r>
        <w:rPr>
          <w:b/>
          <w:bCs/>
          <w:sz w:val="28"/>
        </w:rPr>
        <w:t xml:space="preserve">Продавать и покупать пиротехнические изделия можно исключительно в специализированных магазинах, имеющих лицензию на продажу </w:t>
      </w:r>
      <w:r>
        <w:rPr>
          <w:rFonts w:eastAsia="Tahoma" w:cs="Noto Sans Devanagari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данных </w:t>
      </w:r>
      <w:r>
        <w:rPr>
          <w:b/>
          <w:bCs/>
          <w:sz w:val="28"/>
        </w:rPr>
        <w:t>изделий!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Никогда не зажигайте пиротехнику в нетрезвом виде. Запускающий должен заранее надежно зафиксировать изделие в соответствии с инструкциями по эксплуатации и иметь возможность немедленно отреагировать в случае непредвиденной ситуации. При поджоге фейерверка не держитесь за изделие и не наклоняйтесь за него. Фитиль нужно зажигать на расстоянии вытянутой руки. После того, как продукт закончил работу, можно безопасно подойти к нему как минимум через 10 минут.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Фейерверк необходимо устанавливать на устойчивой и ровной поверхности. Устройства с небольшой площадью основания следует закрепить, присыпав землей с боков или установить в плотном снегу. Это предотвратит их опрокидывание. Летающие ракеты и салюты следует запускать вдали от жилых домов, зданий с шаткими крышами или открытых чердаков. Для наземных фейерверков следует выбирать гладкую поверхность, не препятствующую их движения. Это может быть лед, ровный грунт, асфальт, гладкий бетон.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Никогда не разбирайте пиротехнику ни до, ни после использования. Категорически запрещается изменять конструкцию изделия каким-либо иным образом до и после его использования.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Чтобы праздник прошел без происшествий, необходимо обязательно соблюдать правила пожарной безопасности.</w:t>
      </w:r>
    </w:p>
    <w:p>
      <w:pPr>
        <w:pStyle w:val="Normal"/>
        <w:spacing w:lineRule="auto" w:line="360"/>
        <w:ind w:left="-709" w:right="0" w:firstLine="709"/>
        <w:jc w:val="center"/>
        <w:rPr>
          <w:b/>
          <w:b/>
          <w:bCs/>
        </w:rPr>
      </w:pPr>
      <w:r>
        <w:rPr>
          <w:b/>
          <w:bCs/>
          <w:sz w:val="28"/>
        </w:rPr>
        <w:t>Ответственность за нарушение правил пожарной безопасности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В соответствии со ст. 20.4 Федерального закона № 195-ФЗ от 30.12.2001 «Кодекс Российской Федерации об административных правонарушениях» и Федерального закона № 69-ФЗ от 21.12.1994 «О пожарной безопасности» к административной ответственности могут привлекаться как собственники помещений, так и лица, на которых была возложена ответственность за соблюдение правил пожарной безопасности.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В случаях, когда в результате пожара пострадали не только материальные вещи, но также люди получили легкий или средний вред здоровью, то штраф будет составлять от 4 до 400 тыс. рублей.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 xml:space="preserve">Если возникший огонь унес жизни людей или причинил тяжкий вред здоровью, то юридические лица заплатят штраф от 600 до 1 млн. руб. Также на них могут возложить запрет на продолжение деятельности на срок до 3 месяцев. 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В соответствии со ст. 168, 219, 261  Федерального закона № 63-ФЗ от 13.06.1996 «Уголовный кодекс Российской Федерации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В случае, если нарушение требований пожарной безопасности, повлекло по неосторожности причинение тяжкого вреда здоровью человека или его смерть, виновное лицо подлежит ответственности по ст. 219  Федерального закона № 63-ФЗ от 13.06.1996 «Уголовный кодекс Российской Федерации» (далее УК РФ). Максимальным наказанием за совершение данного преступления является лишение свободы на срок до семи лет.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За повреждение имущества в крупном размере путем неосторожного обращения с огнем или иным источником повышенной опасности законодателем предусмотрена уголовная ответственность по ст. 168 УК РФ. При этом максимальным наказанием является лишение свободы сроком до одного года.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>
          <w:sz w:val="28"/>
        </w:rPr>
        <w:t>Следует помнить, что правила пожарной безопасности созданы не для того чтобы ограничить свободу и право людей на праздник, а для того, чтобы защитить их жизнь и здоровье.</w:t>
      </w:r>
    </w:p>
    <w:p>
      <w:pPr>
        <w:pStyle w:val="Style12"/>
        <w:spacing w:lineRule="auto" w:line="360"/>
        <w:ind w:left="-709" w:right="0" w:firstLine="709"/>
        <w:jc w:val="both"/>
        <w:rPr>
          <w:b/>
          <w:b/>
          <w:bCs/>
        </w:rPr>
      </w:pPr>
      <w:r>
        <w:rPr>
          <w:b/>
          <w:bCs/>
          <w:sz w:val="28"/>
        </w:rPr>
        <w:t xml:space="preserve">В случае возникновения пожара звоните: </w:t>
      </w:r>
    </w:p>
    <w:p>
      <w:pPr>
        <w:pStyle w:val="Style12"/>
        <w:rPr>
          <w:b/>
          <w:b/>
          <w:bCs/>
        </w:rPr>
      </w:pPr>
      <w:r>
        <w:rPr>
          <w:b/>
          <w:bCs/>
        </w:rPr>
        <w:t> </w:t>
      </w:r>
      <w:r>
        <w:rPr>
          <w:b/>
          <w:bCs/>
        </w:rPr>
        <w:t xml:space="preserve">- «101» - для набора со всех операторов мобильной связи; </w:t>
      </w:r>
    </w:p>
    <w:p>
      <w:pPr>
        <w:pStyle w:val="Style12"/>
        <w:rPr>
          <w:b/>
          <w:b/>
          <w:bCs/>
        </w:rPr>
      </w:pPr>
      <w:r>
        <w:rPr>
          <w:b/>
          <w:bCs/>
        </w:rPr>
        <w:t> </w:t>
      </w:r>
      <w:r>
        <w:rPr>
          <w:b/>
          <w:bCs/>
        </w:rPr>
        <w:t xml:space="preserve">- «01» - со стационарных телефонов; </w:t>
      </w:r>
    </w:p>
    <w:p>
      <w:pPr>
        <w:pStyle w:val="Style12"/>
        <w:rPr>
          <w:b/>
          <w:b/>
          <w:bCs/>
        </w:rPr>
      </w:pPr>
      <w:r>
        <w:rPr>
          <w:b/>
          <w:bCs/>
        </w:rPr>
        <w:t xml:space="preserve">- «112» - единый телефон вызова экстренных оперативных служб. </w:t>
      </w:r>
    </w:p>
    <w:p>
      <w:pPr>
        <w:pStyle w:val="Normal"/>
        <w:spacing w:lineRule="auto" w:line="360"/>
        <w:ind w:left="-709" w:right="0" w:firstLine="709"/>
        <w:jc w:val="both"/>
        <w:rPr>
          <w:b w:val="false"/>
          <w:b w:val="false"/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/>
  </w:style>
  <w:style w:type="character" w:styleId="Contents4">
    <w:name w:val="Contents 4"/>
    <w:link w:val="Style_3"/>
    <w:qFormat/>
    <w:rPr/>
  </w:style>
  <w:style w:type="character" w:styleId="Contents6">
    <w:name w:val="Contents 6"/>
    <w:link w:val="Style_4"/>
    <w:qFormat/>
    <w:rPr/>
  </w:style>
  <w:style w:type="character" w:styleId="Contents7">
    <w:name w:val="Contents 7"/>
    <w:link w:val="Style_5"/>
    <w:qFormat/>
    <w:rPr/>
  </w:style>
  <w:style w:type="character" w:styleId="Heading3">
    <w:name w:val="Heading 3"/>
    <w:link w:val="Style_6"/>
    <w:qFormat/>
    <w:rPr>
      <w:rFonts w:ascii="XO Thames" w:hAnsi="XO Thames"/>
      <w:b/>
      <w:i/>
      <w:color w:val="000000"/>
    </w:rPr>
  </w:style>
  <w:style w:type="character" w:styleId="Contents3">
    <w:name w:val="Contents 3"/>
    <w:link w:val="Style_7"/>
    <w:qFormat/>
    <w:rPr/>
  </w:style>
  <w:style w:type="character" w:styleId="Heading5">
    <w:name w:val="Heading 5"/>
    <w:link w:val="Style_8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/>
  </w:style>
  <w:style w:type="character" w:styleId="Contents8">
    <w:name w:val="Contents 8"/>
    <w:link w:val="Style_15"/>
    <w:qFormat/>
    <w:rPr/>
  </w:style>
  <w:style w:type="character" w:styleId="Contents5">
    <w:name w:val="Contents 5"/>
    <w:link w:val="Style_16"/>
    <w:qFormat/>
    <w:rPr/>
  </w:style>
  <w:style w:type="character" w:styleId="Subtitle">
    <w:name w:val="Subtitle"/>
    <w:link w:val="Style_17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18"/>
    <w:qFormat/>
    <w:rPr/>
  </w:style>
  <w:style w:type="character" w:styleId="Title">
    <w:name w:val="Title"/>
    <w:link w:val="Style_19"/>
    <w:qFormat/>
    <w:rPr>
      <w:rFonts w:ascii="XO Thames" w:hAnsi="XO Thames"/>
      <w:b/>
      <w:sz w:val="52"/>
    </w:rPr>
  </w:style>
  <w:style w:type="character" w:styleId="Heading4">
    <w:name w:val="Heading 4"/>
    <w:link w:val="Style_20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1"/>
    <w:qFormat/>
    <w:rPr>
      <w:rFonts w:ascii="XO Thames" w:hAnsi="XO Thames"/>
      <w:b/>
      <w:color w:val="00A0FF"/>
      <w:sz w:val="26"/>
    </w:rPr>
  </w:style>
  <w:style w:type="character" w:styleId="Style10">
    <w:name w:val="Выделение жирным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Верхний и нижний колонтитулы"/>
    <w:link w:val="Style_13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Subtitle"/>
    <w:next w:val="Normal"/>
    <w:link w:val="Style_17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18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link w:val="Style_19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LibreOffice/6.4.7.2$Linux_X86_64 LibreOffice_project/40$Build-2</Application>
  <Pages>4</Pages>
  <Words>825</Words>
  <Characters>5339</Characters>
  <CharactersWithSpaces>6168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2021-12-21T18:45:54Z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